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4898B" w14:textId="77777777" w:rsidR="009B4358" w:rsidRPr="00E64758" w:rsidRDefault="00E64758" w:rsidP="00E64758">
      <w:pPr>
        <w:jc w:val="center"/>
        <w:rPr>
          <w:sz w:val="28"/>
          <w:szCs w:val="28"/>
        </w:rPr>
      </w:pPr>
      <w:r w:rsidRPr="00E64758">
        <w:rPr>
          <w:sz w:val="28"/>
          <w:szCs w:val="28"/>
        </w:rPr>
        <w:t>2020 Code Changes</w:t>
      </w:r>
    </w:p>
    <w:p w14:paraId="2E3D865E" w14:textId="77777777" w:rsidR="00E64758" w:rsidRDefault="00E64758"/>
    <w:p w14:paraId="09589B12" w14:textId="77777777" w:rsidR="00E64758" w:rsidRDefault="00E64758"/>
    <w:p w14:paraId="2741A9A1" w14:textId="77777777" w:rsidR="00622ECB" w:rsidRDefault="00427A95" w:rsidP="004E2189">
      <w:pPr>
        <w:keepNext/>
        <w:tabs>
          <w:tab w:val="left" w:pos="1440"/>
        </w:tabs>
        <w:spacing w:after="100"/>
        <w:ind w:left="1440" w:hanging="1440"/>
        <w:jc w:val="left"/>
        <w:rPr>
          <w:sz w:val="22"/>
        </w:rPr>
      </w:pPr>
      <w:r w:rsidRPr="0042041F">
        <w:rPr>
          <w:sz w:val="22"/>
        </w:rPr>
        <w:t>Article ___</w:t>
      </w:r>
      <w:r>
        <w:rPr>
          <w:sz w:val="22"/>
        </w:rPr>
        <w:tab/>
        <w:t>To see if the town will vote to amend the current Land Use Code as follows:</w:t>
      </w:r>
    </w:p>
    <w:p w14:paraId="1D153FC9" w14:textId="77777777" w:rsidR="001E1361" w:rsidRDefault="00427A95" w:rsidP="00622ECB">
      <w:pPr>
        <w:spacing w:after="240"/>
        <w:ind w:left="1440"/>
        <w:jc w:val="left"/>
        <w:rPr>
          <w:rFonts w:eastAsia="Calibri"/>
          <w:color w:val="auto"/>
          <w:sz w:val="22"/>
        </w:rPr>
      </w:pPr>
      <w:r>
        <w:rPr>
          <w:sz w:val="22"/>
        </w:rPr>
        <w:t>Section 170-106, General requirements and standards, Subsection A(3)(f)</w:t>
      </w:r>
      <w:r w:rsidR="00A851C5">
        <w:rPr>
          <w:sz w:val="22"/>
        </w:rPr>
        <w:t>,</w:t>
      </w:r>
      <w:r>
        <w:rPr>
          <w:sz w:val="22"/>
        </w:rPr>
        <w:t xml:space="preserve"> is amended to read</w:t>
      </w:r>
      <w:r w:rsidR="003634D0">
        <w:rPr>
          <w:sz w:val="22"/>
        </w:rPr>
        <w:t xml:space="preserve">: </w:t>
      </w:r>
      <w:r w:rsidR="00FB12DB">
        <w:rPr>
          <w:sz w:val="22"/>
        </w:rPr>
        <w:t>“</w:t>
      </w:r>
      <w:r w:rsidRPr="00981955">
        <w:rPr>
          <w:rFonts w:eastAsia="Calibri"/>
          <w:szCs w:val="24"/>
        </w:rPr>
        <w:t xml:space="preserve">Where the proposed subdivision is located on a lake, pond, river, saltwater body or stream, a portion of the </w:t>
      </w:r>
      <w:r w:rsidRPr="001E1361">
        <w:rPr>
          <w:rFonts w:eastAsia="Calibri"/>
          <w:sz w:val="22"/>
        </w:rPr>
        <w:t xml:space="preserve">waterfront area shall be </w:t>
      </w:r>
      <w:r w:rsidRPr="001E1361">
        <w:rPr>
          <w:rFonts w:eastAsia="Calibri"/>
          <w:color w:val="auto"/>
          <w:sz w:val="22"/>
        </w:rPr>
        <w:t xml:space="preserve">included in </w:t>
      </w:r>
      <w:r w:rsidRPr="001E1361">
        <w:rPr>
          <w:rFonts w:eastAsia="Calibri"/>
          <w:strike/>
          <w:color w:val="auto"/>
          <w:sz w:val="22"/>
        </w:rPr>
        <w:t>reserved</w:t>
      </w:r>
      <w:r w:rsidRPr="001E1361">
        <w:rPr>
          <w:rFonts w:eastAsia="Calibri"/>
          <w:color w:val="auto"/>
          <w:sz w:val="22"/>
        </w:rPr>
        <w:t xml:space="preserve"> land</w:t>
      </w:r>
      <w:r w:rsidRPr="001E1361">
        <w:rPr>
          <w:rFonts w:eastAsia="Calibri"/>
          <w:color w:val="auto"/>
          <w:sz w:val="22"/>
          <w:u w:val="single"/>
        </w:rPr>
        <w:t xml:space="preserve"> reserved under Subsection A(3)(a) above.</w:t>
      </w:r>
      <w:r w:rsidRPr="001E1361">
        <w:rPr>
          <w:rFonts w:eastAsia="Calibri"/>
          <w:strike/>
          <w:color w:val="auto"/>
          <w:sz w:val="22"/>
        </w:rPr>
        <w:t>, which</w:t>
      </w:r>
      <w:r w:rsidRPr="001E1361">
        <w:rPr>
          <w:rFonts w:eastAsia="Calibri"/>
          <w:color w:val="auto"/>
          <w:sz w:val="22"/>
          <w:u w:val="single"/>
        </w:rPr>
        <w:t xml:space="preserve">  The dimension along the waterfront</w:t>
      </w:r>
      <w:r w:rsidRPr="001E1361">
        <w:rPr>
          <w:rFonts w:eastAsia="Calibri"/>
          <w:color w:val="auto"/>
          <w:sz w:val="22"/>
        </w:rPr>
        <w:t xml:space="preserve"> shall be a minimum of 200 feet</w:t>
      </w:r>
      <w:r w:rsidRPr="001E1361">
        <w:rPr>
          <w:rFonts w:eastAsia="Calibri"/>
          <w:color w:val="auto"/>
          <w:sz w:val="22"/>
          <w:u w:val="single"/>
        </w:rPr>
        <w:t>,</w:t>
      </w:r>
      <w:r w:rsidRPr="001E1361">
        <w:rPr>
          <w:rFonts w:eastAsia="Calibri"/>
          <w:color w:val="auto"/>
          <w:sz w:val="22"/>
        </w:rPr>
        <w:t xml:space="preserve"> plus 10 additional feet for each unit/lot</w:t>
      </w:r>
      <w:r w:rsidRPr="001E1361">
        <w:rPr>
          <w:rFonts w:eastAsia="Calibri"/>
          <w:color w:val="auto"/>
          <w:sz w:val="22"/>
          <w:u w:val="single"/>
        </w:rPr>
        <w:t>, or the entire extent of the waterfront, whichever is less.  The dimension perpendicular to the waterfront shall be no less than 100 feet.</w:t>
      </w:r>
      <w:r w:rsidR="00FB12DB">
        <w:rPr>
          <w:rFonts w:eastAsia="Calibri"/>
          <w:color w:val="auto"/>
          <w:sz w:val="22"/>
          <w:u w:val="single"/>
        </w:rPr>
        <w:t>”</w:t>
      </w:r>
    </w:p>
    <w:p w14:paraId="533CC1A2" w14:textId="77777777" w:rsidR="00FF20C5" w:rsidRDefault="00427A95" w:rsidP="00FF20C5">
      <w:pPr>
        <w:spacing w:after="240"/>
        <w:ind w:left="1440"/>
        <w:jc w:val="left"/>
        <w:rPr>
          <w:rFonts w:eastAsia="Calibri"/>
          <w:color w:val="auto"/>
          <w:sz w:val="22"/>
        </w:rPr>
      </w:pPr>
      <w:r>
        <w:rPr>
          <w:rFonts w:eastAsia="Calibri"/>
          <w:color w:val="auto"/>
          <w:sz w:val="22"/>
        </w:rPr>
        <w:t xml:space="preserve">(The intent is to clarify that the 200 feet of waterfront land that is required to be </w:t>
      </w:r>
      <w:proofErr w:type="spellStart"/>
      <w:r>
        <w:rPr>
          <w:rFonts w:eastAsia="Calibri"/>
          <w:color w:val="auto"/>
          <w:sz w:val="22"/>
        </w:rPr>
        <w:t>reserved</w:t>
      </w:r>
      <w:proofErr w:type="spellEnd"/>
      <w:r>
        <w:rPr>
          <w:rFonts w:eastAsia="Calibri"/>
          <w:color w:val="auto"/>
          <w:sz w:val="22"/>
        </w:rPr>
        <w:t xml:space="preserve"> as open space in certain subdivisions is measured along the waterfront.)</w:t>
      </w:r>
    </w:p>
    <w:p w14:paraId="5CDD45DB" w14:textId="77777777" w:rsidR="00622ECB" w:rsidRDefault="00427A95" w:rsidP="004E2189">
      <w:pPr>
        <w:keepNext/>
        <w:tabs>
          <w:tab w:val="left" w:pos="1440"/>
        </w:tabs>
        <w:spacing w:after="100"/>
        <w:ind w:left="1440" w:hanging="1440"/>
        <w:jc w:val="left"/>
        <w:rPr>
          <w:sz w:val="22"/>
        </w:rPr>
      </w:pPr>
      <w:r w:rsidRPr="0042041F">
        <w:rPr>
          <w:sz w:val="22"/>
        </w:rPr>
        <w:t>Article ___</w:t>
      </w:r>
      <w:r>
        <w:rPr>
          <w:sz w:val="22"/>
        </w:rPr>
        <w:tab/>
        <w:t>To see if the town will vote to amend the current Land Use Code as follows:</w:t>
      </w:r>
    </w:p>
    <w:p w14:paraId="2FCDD2E1" w14:textId="77777777" w:rsidR="00F40F11" w:rsidRPr="00F40F11" w:rsidRDefault="00427A95" w:rsidP="00A851C5">
      <w:pPr>
        <w:spacing w:after="100"/>
        <w:ind w:left="1440"/>
        <w:jc w:val="left"/>
        <w:rPr>
          <w:rFonts w:eastAsia="Calibri"/>
          <w:color w:val="auto"/>
          <w:sz w:val="22"/>
          <w:u w:val="single"/>
          <w:shd w:val="clear" w:color="auto" w:fill="FFFFFF"/>
          <w:lang w:bidi="ar-SA"/>
        </w:rPr>
      </w:pPr>
      <w:r>
        <w:rPr>
          <w:sz w:val="22"/>
        </w:rPr>
        <w:t>Section 170-</w:t>
      </w:r>
      <w:r w:rsidRPr="00F40F11">
        <w:rPr>
          <w:sz w:val="22"/>
        </w:rPr>
        <w:t>53, Retail/wholesale sales or services, is amended to read</w:t>
      </w:r>
      <w:r w:rsidR="00FB12DB">
        <w:rPr>
          <w:sz w:val="22"/>
        </w:rPr>
        <w:t>:</w:t>
      </w:r>
      <w:r w:rsidRPr="00F40F11">
        <w:rPr>
          <w:sz w:val="22"/>
        </w:rPr>
        <w:t xml:space="preserve"> </w:t>
      </w:r>
      <w:r w:rsidR="00FB12DB">
        <w:rPr>
          <w:sz w:val="22"/>
        </w:rPr>
        <w:t>“</w:t>
      </w:r>
      <w:r w:rsidRPr="00F40F11">
        <w:rPr>
          <w:rFonts w:eastAsia="Calibri"/>
          <w:color w:val="auto"/>
          <w:sz w:val="22"/>
          <w:lang w:bidi="ar-SA"/>
        </w:rPr>
        <w:t>No retail/wholesale sales or services of food, beverages or other items intended for immediate human consumption shall be offered or solicited except on privately owned property</w:t>
      </w:r>
      <w:r w:rsidRPr="00F40F11">
        <w:rPr>
          <w:rFonts w:eastAsia="Calibri"/>
          <w:color w:val="auto"/>
          <w:sz w:val="22"/>
          <w:u w:val="single"/>
          <w:lang w:bidi="ar-SA"/>
        </w:rPr>
        <w:t xml:space="preserve">.  </w:t>
      </w:r>
      <w:r w:rsidRPr="00F40F11">
        <w:rPr>
          <w:rFonts w:eastAsia="Calibri"/>
          <w:strike/>
          <w:color w:val="auto"/>
          <w:sz w:val="22"/>
          <w:lang w:bidi="ar-SA"/>
        </w:rPr>
        <w:t xml:space="preserve">, in which the retail sales or services are located, except for restaurants, which may offer on-premises consumption incidental to the operation of the restaurant on a deck, porch or equivalent structure or in a garden, patio or equivalent area. Before approval </w:t>
      </w:r>
      <w:proofErr w:type="spellStart"/>
      <w:r w:rsidRPr="00F40F11">
        <w:rPr>
          <w:rFonts w:eastAsia="Calibri"/>
          <w:strike/>
          <w:color w:val="auto"/>
          <w:sz w:val="22"/>
          <w:lang w:bidi="ar-SA"/>
        </w:rPr>
        <w:t>or</w:t>
      </w:r>
      <w:r w:rsidRPr="00F40F11">
        <w:rPr>
          <w:rFonts w:eastAsia="Calibri"/>
          <w:color w:val="auto"/>
          <w:sz w:val="22"/>
          <w:u w:val="single"/>
          <w:lang w:bidi="ar-SA"/>
        </w:rPr>
        <w:t>No</w:t>
      </w:r>
      <w:proofErr w:type="spellEnd"/>
      <w:r w:rsidRPr="00F40F11">
        <w:rPr>
          <w:rFonts w:eastAsia="Calibri"/>
          <w:color w:val="auto"/>
          <w:sz w:val="22"/>
          <w:lang w:bidi="ar-SA"/>
        </w:rPr>
        <w:t xml:space="preserve"> use </w:t>
      </w:r>
      <w:r w:rsidRPr="00F40F11">
        <w:rPr>
          <w:rFonts w:eastAsia="Calibri"/>
          <w:color w:val="auto"/>
          <w:sz w:val="22"/>
          <w:u w:val="single"/>
          <w:lang w:bidi="ar-SA"/>
        </w:rPr>
        <w:t xml:space="preserve">or operation </w:t>
      </w:r>
      <w:r w:rsidRPr="00F40F11">
        <w:rPr>
          <w:rFonts w:eastAsia="Calibri"/>
          <w:color w:val="auto"/>
          <w:sz w:val="22"/>
          <w:lang w:bidi="ar-SA"/>
        </w:rPr>
        <w:t>of a drive-up or take-out window</w:t>
      </w:r>
      <w:r w:rsidRPr="00F40F11">
        <w:rPr>
          <w:rFonts w:eastAsia="Calibri"/>
          <w:strike/>
          <w:color w:val="auto"/>
          <w:sz w:val="22"/>
          <w:lang w:bidi="ar-SA"/>
        </w:rPr>
        <w:t>, the applicant or operator shall submit to the Town a litter control plan suitable for the service provided. No drive-up or take-out window may interfere with the public’s use of a public way. This provision shall not apply to civic events or statewide or regional events of nonprofit organizations</w:t>
      </w:r>
      <w:r w:rsidRPr="00F40F11">
        <w:rPr>
          <w:rFonts w:eastAsia="Times New Roman"/>
          <w:color w:val="auto"/>
          <w:sz w:val="22"/>
          <w:u w:val="single"/>
          <w:lang w:bidi="ar-SA"/>
        </w:rPr>
        <w:t xml:space="preserve"> </w:t>
      </w:r>
      <w:r w:rsidRPr="00F40F11">
        <w:rPr>
          <w:rFonts w:eastAsia="Calibri"/>
          <w:color w:val="auto"/>
          <w:sz w:val="22"/>
          <w:u w:val="single"/>
          <w:shd w:val="clear" w:color="auto" w:fill="FFFFFF"/>
          <w:lang w:bidi="ar-SA"/>
        </w:rPr>
        <w:t>shall occur without a permit from the Planning Board, which permit shall be for the term of one year and may be renewed on an annual basis by the Code Enforcement Officer.  Upon the application for such permit or renewal, the applicant shall submit an acceptable litter control plan, evidence that the applicant has the financial resources and technical ability to carry out the litter control plan, and evidence that the drive-up, walk-up, or take-out window will not interfere with the public’s use of any public way, all of which shall be satisfactory as determined by the Planning Board.  The Planning Board shall take into account any complaints, citations, notices of violation, and orders to stop issued to or about the applicant or any previous operator of the same site, as reported by the Code Enforcement Officer.  The Planning Board may condition any such permit upon compliance with the litter control plan and/or the lack of interference with the public’s use of any public way. No use or operation that is not functionally water dependent shall occur from any structure over the water.</w:t>
      </w:r>
    </w:p>
    <w:p w14:paraId="061FBFEF" w14:textId="77777777" w:rsidR="00F40F11" w:rsidRDefault="00427A95" w:rsidP="00F40F11">
      <w:pPr>
        <w:spacing w:after="240"/>
        <w:ind w:left="1440"/>
        <w:jc w:val="left"/>
        <w:rPr>
          <w:rFonts w:eastAsia="Calibri"/>
          <w:color w:val="auto"/>
          <w:sz w:val="22"/>
          <w:shd w:val="clear" w:color="auto" w:fill="FFFFFF"/>
          <w:lang w:bidi="ar-SA"/>
        </w:rPr>
      </w:pPr>
      <w:r w:rsidRPr="00F40F11">
        <w:rPr>
          <w:rFonts w:eastAsia="Calibri"/>
          <w:color w:val="auto"/>
          <w:sz w:val="22"/>
          <w:u w:val="single"/>
          <w:shd w:val="clear" w:color="auto" w:fill="FFFFFF"/>
          <w:lang w:bidi="ar-SA"/>
        </w:rPr>
        <w:t>The Code Enforcement Officer may grant temporary permits under this section for civic, statewide, or regional events of nonprofit organizations</w:t>
      </w:r>
      <w:r w:rsidRPr="00F40F11">
        <w:rPr>
          <w:rFonts w:eastAsia="Calibri"/>
          <w:color w:val="auto"/>
          <w:sz w:val="22"/>
          <w:shd w:val="clear" w:color="auto" w:fill="FFFFFF"/>
          <w:lang w:bidi="ar-SA"/>
        </w:rPr>
        <w:t>.</w:t>
      </w:r>
      <w:r w:rsidR="00FB12DB">
        <w:rPr>
          <w:rFonts w:eastAsia="Calibri"/>
          <w:color w:val="auto"/>
          <w:sz w:val="22"/>
          <w:shd w:val="clear" w:color="auto" w:fill="FFFFFF"/>
          <w:lang w:bidi="ar-SA"/>
        </w:rPr>
        <w:t>”</w:t>
      </w:r>
    </w:p>
    <w:p w14:paraId="0B12DE2A" w14:textId="77777777" w:rsidR="008E3808" w:rsidRDefault="00427A95" w:rsidP="00A851C5">
      <w:pPr>
        <w:spacing w:after="100"/>
        <w:ind w:left="1440"/>
        <w:jc w:val="left"/>
        <w:rPr>
          <w:rFonts w:eastAsia="Calibri"/>
          <w:color w:val="auto"/>
          <w:sz w:val="22"/>
          <w:shd w:val="clear" w:color="auto" w:fill="FFFFFF"/>
          <w:lang w:bidi="ar-SA"/>
        </w:rPr>
      </w:pPr>
      <w:r>
        <w:rPr>
          <w:rFonts w:eastAsia="Calibri"/>
          <w:color w:val="auto"/>
          <w:sz w:val="22"/>
          <w:shd w:val="clear" w:color="auto" w:fill="FFFFFF"/>
          <w:lang w:bidi="ar-SA"/>
        </w:rPr>
        <w:t>Section 170-27(E), Schedule of Uses, is amended by adding a new line and a new footnote, as follows:</w:t>
      </w:r>
    </w:p>
    <w:p w14:paraId="6DE1966B" w14:textId="77777777" w:rsidR="008E3808" w:rsidRPr="008E3808" w:rsidRDefault="00427A95" w:rsidP="008E3808">
      <w:pPr>
        <w:tabs>
          <w:tab w:val="left" w:pos="2520"/>
          <w:tab w:val="left" w:pos="3600"/>
          <w:tab w:val="left" w:pos="4680"/>
          <w:tab w:val="left" w:pos="5760"/>
          <w:tab w:val="left" w:pos="6840"/>
          <w:tab w:val="left" w:pos="7920"/>
        </w:tabs>
        <w:spacing w:after="120"/>
        <w:ind w:left="1440"/>
        <w:rPr>
          <w:sz w:val="22"/>
          <w:u w:val="single"/>
        </w:rPr>
      </w:pPr>
      <w:r>
        <w:rPr>
          <w:sz w:val="22"/>
          <w:u w:val="single"/>
        </w:rPr>
        <w:t>“</w:t>
      </w:r>
      <w:r w:rsidRPr="008E3808">
        <w:rPr>
          <w:sz w:val="22"/>
          <w:u w:val="single"/>
        </w:rPr>
        <w:t>GR</w:t>
      </w:r>
      <w:r w:rsidRPr="008E3808">
        <w:rPr>
          <w:sz w:val="22"/>
          <w:u w:val="single"/>
        </w:rPr>
        <w:tab/>
        <w:t>SR</w:t>
      </w:r>
      <w:r w:rsidRPr="008E3808">
        <w:rPr>
          <w:sz w:val="22"/>
          <w:u w:val="single"/>
        </w:rPr>
        <w:tab/>
        <w:t>DB</w:t>
      </w:r>
      <w:r w:rsidRPr="008E3808">
        <w:rPr>
          <w:sz w:val="22"/>
          <w:u w:val="single"/>
        </w:rPr>
        <w:tab/>
        <w:t>WW</w:t>
      </w:r>
      <w:r w:rsidRPr="008E3808">
        <w:rPr>
          <w:sz w:val="22"/>
          <w:u w:val="single"/>
        </w:rPr>
        <w:tab/>
        <w:t>LC/M</w:t>
      </w:r>
      <w:r w:rsidRPr="008E3808">
        <w:rPr>
          <w:sz w:val="22"/>
          <w:u w:val="single"/>
        </w:rPr>
        <w:tab/>
        <w:t>GB</w:t>
      </w:r>
      <w:r w:rsidRPr="008E3808">
        <w:rPr>
          <w:sz w:val="22"/>
          <w:u w:val="single"/>
        </w:rPr>
        <w:tab/>
        <w:t>RP</w:t>
      </w:r>
    </w:p>
    <w:p w14:paraId="02548AAD" w14:textId="77777777" w:rsidR="008E3808" w:rsidRPr="008E3808" w:rsidRDefault="00427A95" w:rsidP="00A851C5">
      <w:pPr>
        <w:tabs>
          <w:tab w:val="left" w:pos="2520"/>
          <w:tab w:val="left" w:pos="3600"/>
          <w:tab w:val="left" w:pos="4680"/>
          <w:tab w:val="left" w:pos="5760"/>
          <w:tab w:val="left" w:pos="6840"/>
          <w:tab w:val="left" w:pos="7920"/>
        </w:tabs>
        <w:spacing w:after="100"/>
        <w:ind w:left="1440"/>
        <w:rPr>
          <w:sz w:val="22"/>
          <w:vertAlign w:val="superscript"/>
        </w:rPr>
      </w:pPr>
      <w:r w:rsidRPr="008E3808">
        <w:rPr>
          <w:sz w:val="22"/>
        </w:rPr>
        <w:tab/>
      </w:r>
      <w:r w:rsidRPr="008E3808">
        <w:rPr>
          <w:sz w:val="22"/>
        </w:rPr>
        <w:tab/>
        <w:t>P</w:t>
      </w:r>
      <w:r w:rsidRPr="008E3808">
        <w:rPr>
          <w:sz w:val="22"/>
          <w:vertAlign w:val="superscript"/>
        </w:rPr>
        <w:t>1</w:t>
      </w:r>
      <w:r w:rsidR="00076BA0">
        <w:rPr>
          <w:sz w:val="22"/>
          <w:vertAlign w:val="superscript"/>
        </w:rPr>
        <w:t>9</w:t>
      </w:r>
      <w:r w:rsidRPr="008E3808">
        <w:rPr>
          <w:sz w:val="22"/>
        </w:rPr>
        <w:tab/>
      </w:r>
      <w:r w:rsidRPr="008E3808">
        <w:rPr>
          <w:sz w:val="22"/>
        </w:rPr>
        <w:tab/>
      </w:r>
      <w:r w:rsidRPr="008E3808">
        <w:rPr>
          <w:sz w:val="22"/>
        </w:rPr>
        <w:tab/>
      </w:r>
      <w:proofErr w:type="spellStart"/>
      <w:r w:rsidRPr="008E3808">
        <w:rPr>
          <w:sz w:val="22"/>
        </w:rPr>
        <w:t>P</w:t>
      </w:r>
      <w:r w:rsidRPr="008E3808">
        <w:rPr>
          <w:sz w:val="22"/>
          <w:vertAlign w:val="superscript"/>
        </w:rPr>
        <w:t>1</w:t>
      </w:r>
      <w:r w:rsidR="00076BA0">
        <w:rPr>
          <w:sz w:val="22"/>
          <w:vertAlign w:val="superscript"/>
        </w:rPr>
        <w:t>9</w:t>
      </w:r>
      <w:proofErr w:type="spellEnd"/>
    </w:p>
    <w:p w14:paraId="0058AF72" w14:textId="77777777" w:rsidR="008E3808" w:rsidRPr="00F40F11" w:rsidRDefault="00427A95" w:rsidP="008E3808">
      <w:pPr>
        <w:spacing w:after="240"/>
        <w:ind w:left="1440"/>
        <w:jc w:val="left"/>
        <w:rPr>
          <w:rFonts w:eastAsia="Calibri"/>
          <w:color w:val="auto"/>
          <w:sz w:val="22"/>
          <w:lang w:bidi="ar-SA"/>
        </w:rPr>
      </w:pPr>
      <w:r w:rsidRPr="008E3808">
        <w:rPr>
          <w:sz w:val="22"/>
          <w:vertAlign w:val="superscript"/>
        </w:rPr>
        <w:t>1</w:t>
      </w:r>
      <w:r w:rsidR="00076BA0">
        <w:rPr>
          <w:sz w:val="22"/>
          <w:vertAlign w:val="superscript"/>
        </w:rPr>
        <w:t>9</w:t>
      </w:r>
      <w:r w:rsidRPr="008E3808">
        <w:rPr>
          <w:sz w:val="22"/>
        </w:rPr>
        <w:t xml:space="preserve"> A Mobile Food Vendor is defined as a seller of food</w:t>
      </w:r>
      <w:r w:rsidRPr="008E3808">
        <w:rPr>
          <w:sz w:val="22"/>
          <w:shd w:val="clear" w:color="auto" w:fill="FFFFFF"/>
        </w:rPr>
        <w:t>, beverages or other items intended for immediate human consumption</w:t>
      </w:r>
      <w:r w:rsidRPr="008E3808">
        <w:rPr>
          <w:sz w:val="22"/>
        </w:rPr>
        <w:t xml:space="preserve"> from a mobile van, truck, cart, or other conveyance</w:t>
      </w:r>
      <w:r>
        <w:rPr>
          <w:sz w:val="22"/>
        </w:rPr>
        <w:t>.</w:t>
      </w:r>
      <w:r w:rsidR="00FB12DB">
        <w:rPr>
          <w:sz w:val="22"/>
        </w:rPr>
        <w:t>”</w:t>
      </w:r>
    </w:p>
    <w:p w14:paraId="654F5C6A" w14:textId="77777777" w:rsidR="00961455" w:rsidRDefault="00427A95" w:rsidP="00961455">
      <w:pPr>
        <w:spacing w:after="240"/>
        <w:ind w:left="1440"/>
        <w:jc w:val="left"/>
        <w:rPr>
          <w:rFonts w:eastAsia="Calibri"/>
          <w:color w:val="auto"/>
          <w:sz w:val="22"/>
        </w:rPr>
      </w:pPr>
      <w:r>
        <w:rPr>
          <w:rFonts w:eastAsia="Calibri"/>
          <w:color w:val="auto"/>
          <w:sz w:val="22"/>
        </w:rPr>
        <w:t>(The intent is</w:t>
      </w:r>
      <w:r w:rsidR="009414A7">
        <w:rPr>
          <w:rFonts w:eastAsia="Calibri"/>
          <w:color w:val="auto"/>
          <w:sz w:val="22"/>
        </w:rPr>
        <w:t xml:space="preserve"> </w:t>
      </w:r>
      <w:proofErr w:type="gramStart"/>
      <w:r w:rsidR="009414A7">
        <w:rPr>
          <w:rFonts w:eastAsia="Calibri"/>
          <w:color w:val="auto"/>
          <w:sz w:val="22"/>
        </w:rPr>
        <w:t>make</w:t>
      </w:r>
      <w:proofErr w:type="gramEnd"/>
      <w:r w:rsidR="009414A7">
        <w:rPr>
          <w:rFonts w:eastAsia="Calibri"/>
          <w:color w:val="auto"/>
          <w:sz w:val="22"/>
        </w:rPr>
        <w:t xml:space="preserve"> provision for the regulation of mobile food vendors</w:t>
      </w:r>
      <w:r>
        <w:rPr>
          <w:rFonts w:eastAsia="Calibri"/>
          <w:color w:val="auto"/>
          <w:sz w:val="22"/>
        </w:rPr>
        <w:t>.)</w:t>
      </w:r>
    </w:p>
    <w:p w14:paraId="30994198" w14:textId="77777777" w:rsidR="00622ECB" w:rsidRDefault="00427A95" w:rsidP="004E2189">
      <w:pPr>
        <w:keepNext/>
        <w:tabs>
          <w:tab w:val="left" w:pos="1440"/>
        </w:tabs>
        <w:spacing w:after="100"/>
        <w:ind w:left="1440" w:hanging="1440"/>
        <w:jc w:val="left"/>
        <w:rPr>
          <w:sz w:val="22"/>
        </w:rPr>
      </w:pPr>
      <w:r w:rsidRPr="0042041F">
        <w:rPr>
          <w:sz w:val="22"/>
        </w:rPr>
        <w:t>Article ___</w:t>
      </w:r>
      <w:r>
        <w:rPr>
          <w:sz w:val="22"/>
        </w:rPr>
        <w:tab/>
        <w:t xml:space="preserve">To see if the town will vote to amend the current </w:t>
      </w:r>
      <w:r w:rsidR="003634D0">
        <w:rPr>
          <w:sz w:val="22"/>
        </w:rPr>
        <w:t>Town</w:t>
      </w:r>
      <w:r>
        <w:rPr>
          <w:sz w:val="22"/>
        </w:rPr>
        <w:t xml:space="preserve"> Code as follows:</w:t>
      </w:r>
    </w:p>
    <w:p w14:paraId="02762DCD" w14:textId="77777777" w:rsidR="00961455" w:rsidRDefault="00427A95" w:rsidP="00622ECB">
      <w:pPr>
        <w:spacing w:after="240"/>
        <w:ind w:left="1440"/>
        <w:jc w:val="left"/>
        <w:rPr>
          <w:rFonts w:eastAsia="Calibri"/>
          <w:color w:val="auto"/>
          <w:sz w:val="22"/>
        </w:rPr>
      </w:pPr>
      <w:r>
        <w:rPr>
          <w:sz w:val="22"/>
        </w:rPr>
        <w:t>Section 2-4</w:t>
      </w:r>
      <w:r w:rsidR="003634D0">
        <w:rPr>
          <w:sz w:val="22"/>
        </w:rPr>
        <w:t xml:space="preserve">, Town finances, Subsection D, </w:t>
      </w:r>
      <w:r>
        <w:rPr>
          <w:sz w:val="22"/>
        </w:rPr>
        <w:t xml:space="preserve"> is amended to read:</w:t>
      </w:r>
      <w:r w:rsidR="003634D0">
        <w:rPr>
          <w:sz w:val="22"/>
        </w:rPr>
        <w:t xml:space="preserve"> </w:t>
      </w:r>
      <w:r w:rsidR="00FB12DB">
        <w:rPr>
          <w:sz w:val="22"/>
        </w:rPr>
        <w:t>“</w:t>
      </w:r>
      <w:r w:rsidR="003634D0" w:rsidRPr="003634D0">
        <w:rPr>
          <w:rFonts w:eastAsia="Calibri"/>
          <w:strike/>
          <w:color w:val="auto"/>
          <w:sz w:val="22"/>
        </w:rPr>
        <w:t xml:space="preserve">Excluding normal professional services, </w:t>
      </w:r>
      <w:proofErr w:type="spellStart"/>
      <w:r w:rsidR="003634D0" w:rsidRPr="003634D0">
        <w:rPr>
          <w:rFonts w:eastAsia="Calibri"/>
          <w:strike/>
          <w:color w:val="auto"/>
          <w:sz w:val="22"/>
          <w:u w:val="single"/>
        </w:rPr>
        <w:t>p</w:t>
      </w:r>
      <w:r w:rsidR="003634D0" w:rsidRPr="003634D0">
        <w:rPr>
          <w:rFonts w:eastAsia="Calibri"/>
          <w:color w:val="auto"/>
          <w:sz w:val="22"/>
          <w:u w:val="single"/>
        </w:rPr>
        <w:t>P</w:t>
      </w:r>
      <w:r w:rsidR="003634D0" w:rsidRPr="003634D0">
        <w:rPr>
          <w:rFonts w:eastAsia="Calibri"/>
          <w:color w:val="auto"/>
          <w:sz w:val="22"/>
        </w:rPr>
        <w:t>urchases</w:t>
      </w:r>
      <w:proofErr w:type="spellEnd"/>
      <w:r w:rsidR="003634D0" w:rsidRPr="003634D0">
        <w:rPr>
          <w:rFonts w:eastAsia="Calibri"/>
          <w:color w:val="auto"/>
          <w:sz w:val="22"/>
        </w:rPr>
        <w:t xml:space="preserve"> of and contracts for supplies, contractual services and improvements estimated to cost in excess of </w:t>
      </w:r>
      <w:r w:rsidR="003634D0" w:rsidRPr="003634D0">
        <w:rPr>
          <w:rFonts w:eastAsia="Calibri"/>
          <w:strike/>
          <w:color w:val="auto"/>
          <w:sz w:val="22"/>
        </w:rPr>
        <w:t>$5,000</w:t>
      </w:r>
      <w:r w:rsidR="003634D0" w:rsidRPr="003634D0">
        <w:rPr>
          <w:rFonts w:eastAsia="Calibri"/>
          <w:color w:val="auto"/>
          <w:sz w:val="22"/>
          <w:u w:val="single"/>
        </w:rPr>
        <w:t>$10,000 (but excluding normal professional services)</w:t>
      </w:r>
      <w:r w:rsidR="003634D0" w:rsidRPr="003634D0">
        <w:rPr>
          <w:rFonts w:eastAsia="Calibri"/>
          <w:color w:val="auto"/>
          <w:sz w:val="22"/>
        </w:rPr>
        <w:t xml:space="preserve"> shall be purchased by formal written sealed bid from the lowest qualified bidder after due notice inviting proposals. </w:t>
      </w:r>
      <w:r w:rsidR="003634D0">
        <w:rPr>
          <w:rFonts w:eastAsia="Calibri"/>
          <w:color w:val="auto"/>
          <w:sz w:val="22"/>
        </w:rPr>
        <w:t xml:space="preserve"> </w:t>
      </w:r>
      <w:r w:rsidR="003634D0" w:rsidRPr="003634D0">
        <w:rPr>
          <w:rFonts w:eastAsia="Calibri"/>
          <w:color w:val="auto"/>
          <w:sz w:val="22"/>
        </w:rPr>
        <w:t>All bid awards must be approved by the Board of Selectmen.</w:t>
      </w:r>
      <w:r w:rsidR="00FB12DB">
        <w:rPr>
          <w:rFonts w:eastAsia="Calibri"/>
          <w:color w:val="auto"/>
          <w:sz w:val="22"/>
        </w:rPr>
        <w:t>”</w:t>
      </w:r>
    </w:p>
    <w:p w14:paraId="0AC7D330" w14:textId="77777777" w:rsidR="00961455" w:rsidRDefault="00427A95" w:rsidP="00961455">
      <w:pPr>
        <w:spacing w:after="240"/>
        <w:ind w:left="1440"/>
        <w:jc w:val="left"/>
        <w:rPr>
          <w:rFonts w:eastAsia="Calibri"/>
          <w:color w:val="auto"/>
          <w:sz w:val="22"/>
        </w:rPr>
      </w:pPr>
      <w:r>
        <w:rPr>
          <w:rFonts w:eastAsia="Calibri"/>
          <w:color w:val="auto"/>
          <w:sz w:val="22"/>
        </w:rPr>
        <w:t>(The intent is</w:t>
      </w:r>
      <w:r w:rsidR="00FB12DB">
        <w:rPr>
          <w:rFonts w:eastAsia="Calibri"/>
          <w:color w:val="auto"/>
          <w:sz w:val="22"/>
        </w:rPr>
        <w:t xml:space="preserve"> to increase the minimum amount requiring purchase by sealed bids</w:t>
      </w:r>
      <w:r>
        <w:rPr>
          <w:rFonts w:eastAsia="Calibri"/>
          <w:color w:val="auto"/>
          <w:sz w:val="22"/>
        </w:rPr>
        <w:t>.)</w:t>
      </w:r>
    </w:p>
    <w:p w14:paraId="2EFD9762" w14:textId="77777777" w:rsidR="004E2189" w:rsidRDefault="00427A95" w:rsidP="004E2189">
      <w:pPr>
        <w:keepNext/>
        <w:tabs>
          <w:tab w:val="left" w:pos="1440"/>
        </w:tabs>
        <w:spacing w:after="100"/>
        <w:ind w:left="1440" w:hanging="1440"/>
        <w:jc w:val="left"/>
        <w:rPr>
          <w:sz w:val="22"/>
        </w:rPr>
      </w:pPr>
      <w:r w:rsidRPr="0042041F">
        <w:rPr>
          <w:sz w:val="22"/>
        </w:rPr>
        <w:t>Article ___</w:t>
      </w:r>
      <w:r>
        <w:rPr>
          <w:sz w:val="22"/>
        </w:rPr>
        <w:tab/>
      </w:r>
      <w:r w:rsidR="00A743C7">
        <w:rPr>
          <w:sz w:val="22"/>
        </w:rPr>
        <w:t>To see if the town will vote to amend</w:t>
      </w:r>
      <w:r w:rsidR="00BE3077">
        <w:rPr>
          <w:sz w:val="22"/>
        </w:rPr>
        <w:t xml:space="preserve"> Chapter 133, Port R</w:t>
      </w:r>
      <w:r w:rsidR="00A851C5">
        <w:rPr>
          <w:sz w:val="22"/>
        </w:rPr>
        <w:t>egulations, of</w:t>
      </w:r>
      <w:r w:rsidR="00A743C7">
        <w:rPr>
          <w:sz w:val="22"/>
        </w:rPr>
        <w:t xml:space="preserve"> the current Town Code as follows</w:t>
      </w:r>
      <w:r>
        <w:rPr>
          <w:sz w:val="22"/>
        </w:rPr>
        <w:t>:</w:t>
      </w:r>
    </w:p>
    <w:p w14:paraId="51A544E3" w14:textId="77777777" w:rsidR="004E2189" w:rsidRDefault="00427A95" w:rsidP="004E2189">
      <w:pPr>
        <w:spacing w:after="240"/>
        <w:ind w:left="1440"/>
        <w:jc w:val="left"/>
        <w:rPr>
          <w:color w:val="auto"/>
          <w:sz w:val="22"/>
        </w:rPr>
      </w:pPr>
      <w:r>
        <w:rPr>
          <w:sz w:val="22"/>
        </w:rPr>
        <w:t xml:space="preserve">In Section </w:t>
      </w:r>
      <w:r w:rsidRPr="0026574B">
        <w:rPr>
          <w:sz w:val="22"/>
        </w:rPr>
        <w:t xml:space="preserve">133-1, Definitions, the definition of “Mooring” </w:t>
      </w:r>
      <w:r w:rsidR="00A743C7" w:rsidRPr="0026574B">
        <w:rPr>
          <w:sz w:val="22"/>
        </w:rPr>
        <w:t>is amended to read:</w:t>
      </w:r>
      <w:r w:rsidRPr="0026574B">
        <w:rPr>
          <w:sz w:val="22"/>
        </w:rPr>
        <w:t xml:space="preserve"> “Any appliance used by a </w:t>
      </w:r>
      <w:r w:rsidRPr="0026574B">
        <w:rPr>
          <w:color w:val="auto"/>
          <w:sz w:val="22"/>
        </w:rPr>
        <w:t xml:space="preserve">watercraft </w:t>
      </w:r>
      <w:r w:rsidRPr="0026574B">
        <w:rPr>
          <w:color w:val="auto"/>
          <w:sz w:val="22"/>
          <w:u w:val="single"/>
        </w:rPr>
        <w:t xml:space="preserve">or float </w:t>
      </w:r>
      <w:r w:rsidRPr="0026574B">
        <w:rPr>
          <w:color w:val="auto"/>
          <w:sz w:val="22"/>
        </w:rPr>
        <w:t xml:space="preserve">for anchoring purposes and not carried aboard such watercraft </w:t>
      </w:r>
      <w:r w:rsidRPr="0026574B">
        <w:rPr>
          <w:color w:val="auto"/>
          <w:sz w:val="22"/>
          <w:u w:val="single"/>
        </w:rPr>
        <w:t>or float</w:t>
      </w:r>
      <w:r w:rsidRPr="0026574B">
        <w:rPr>
          <w:color w:val="auto"/>
          <w:sz w:val="22"/>
        </w:rPr>
        <w:t>.</w:t>
      </w:r>
    </w:p>
    <w:p w14:paraId="4C508F32" w14:textId="77777777" w:rsidR="0026574B" w:rsidRDefault="00427A95" w:rsidP="004E2189">
      <w:pPr>
        <w:spacing w:after="240"/>
        <w:ind w:left="1440"/>
        <w:jc w:val="left"/>
        <w:rPr>
          <w:sz w:val="22"/>
        </w:rPr>
      </w:pPr>
      <w:r>
        <w:rPr>
          <w:sz w:val="22"/>
        </w:rPr>
        <w:t xml:space="preserve">In Section </w:t>
      </w:r>
      <w:r w:rsidRPr="0026574B">
        <w:rPr>
          <w:sz w:val="22"/>
        </w:rPr>
        <w:t xml:space="preserve">133-1, Definitions, </w:t>
      </w:r>
      <w:r>
        <w:rPr>
          <w:sz w:val="22"/>
        </w:rPr>
        <w:t>a new</w:t>
      </w:r>
      <w:r w:rsidRPr="0026574B">
        <w:rPr>
          <w:sz w:val="22"/>
        </w:rPr>
        <w:t xml:space="preserve"> definition of “</w:t>
      </w:r>
      <w:r>
        <w:rPr>
          <w:sz w:val="22"/>
        </w:rPr>
        <w:t>Float</w:t>
      </w:r>
      <w:r w:rsidRPr="0026574B">
        <w:rPr>
          <w:sz w:val="22"/>
        </w:rPr>
        <w:t xml:space="preserve">” is </w:t>
      </w:r>
      <w:r>
        <w:rPr>
          <w:sz w:val="22"/>
        </w:rPr>
        <w:t>enacted</w:t>
      </w:r>
      <w:r w:rsidRPr="0026574B">
        <w:rPr>
          <w:sz w:val="22"/>
        </w:rPr>
        <w:t xml:space="preserve"> to read: “</w:t>
      </w:r>
      <w:r w:rsidRPr="00076BA0">
        <w:rPr>
          <w:sz w:val="22"/>
        </w:rPr>
        <w:t>A floating platform affixed to a mooring or otherwise held in position for use by swimmers or other recreational users, by boats, or for the storage of equipment, gear, or supplies.</w:t>
      </w:r>
      <w:r>
        <w:rPr>
          <w:sz w:val="22"/>
        </w:rPr>
        <w:t>”</w:t>
      </w:r>
    </w:p>
    <w:p w14:paraId="49924156" w14:textId="77777777" w:rsidR="0026574B" w:rsidRDefault="00427A95" w:rsidP="004E2189">
      <w:pPr>
        <w:spacing w:after="240"/>
        <w:ind w:left="1440"/>
        <w:jc w:val="left"/>
        <w:rPr>
          <w:color w:val="auto"/>
          <w:sz w:val="22"/>
        </w:rPr>
      </w:pPr>
      <w:r>
        <w:rPr>
          <w:color w:val="auto"/>
          <w:sz w:val="22"/>
        </w:rPr>
        <w:t xml:space="preserve">Section 133-8, </w:t>
      </w:r>
      <w:r w:rsidRPr="0026574B">
        <w:rPr>
          <w:color w:val="auto"/>
          <w:sz w:val="22"/>
        </w:rPr>
        <w:t xml:space="preserve">Prohibited acts, Subsection </w:t>
      </w:r>
      <w:proofErr w:type="gramStart"/>
      <w:r w:rsidRPr="0026574B">
        <w:rPr>
          <w:color w:val="auto"/>
          <w:sz w:val="22"/>
        </w:rPr>
        <w:t>M(</w:t>
      </w:r>
      <w:proofErr w:type="gramEnd"/>
      <w:r w:rsidRPr="0026574B">
        <w:rPr>
          <w:color w:val="auto"/>
          <w:sz w:val="22"/>
        </w:rPr>
        <w:t>3) is amended to read: “All floats</w:t>
      </w:r>
      <w:r w:rsidRPr="0026574B">
        <w:rPr>
          <w:color w:val="auto"/>
          <w:sz w:val="22"/>
          <w:u w:val="single"/>
        </w:rPr>
        <w:t>, wharves, piers, and docks</w:t>
      </w:r>
      <w:r w:rsidRPr="0026574B">
        <w:rPr>
          <w:color w:val="auto"/>
          <w:sz w:val="22"/>
        </w:rPr>
        <w:t xml:space="preserve"> will be maintained in a good</w:t>
      </w:r>
      <w:r w:rsidRPr="0026574B">
        <w:rPr>
          <w:strike/>
          <w:color w:val="auto"/>
          <w:sz w:val="22"/>
        </w:rPr>
        <w:t>,</w:t>
      </w:r>
      <w:r w:rsidRPr="0026574B">
        <w:rPr>
          <w:color w:val="auto"/>
          <w:sz w:val="22"/>
        </w:rPr>
        <w:t xml:space="preserve"> </w:t>
      </w:r>
      <w:r w:rsidRPr="0026574B">
        <w:rPr>
          <w:color w:val="auto"/>
          <w:sz w:val="22"/>
          <w:u w:val="single"/>
        </w:rPr>
        <w:t xml:space="preserve">and </w:t>
      </w:r>
      <w:r w:rsidRPr="0026574B">
        <w:rPr>
          <w:color w:val="auto"/>
          <w:sz w:val="22"/>
        </w:rPr>
        <w:t>serviceable</w:t>
      </w:r>
      <w:r w:rsidRPr="0026574B">
        <w:rPr>
          <w:strike/>
          <w:color w:val="auto"/>
          <w:sz w:val="22"/>
        </w:rPr>
        <w:t>, and seaworthy</w:t>
      </w:r>
      <w:r w:rsidRPr="0026574B">
        <w:rPr>
          <w:color w:val="auto"/>
          <w:sz w:val="22"/>
        </w:rPr>
        <w:t xml:space="preserve"> condition at all times.</w:t>
      </w:r>
      <w:r w:rsidRPr="0026574B">
        <w:rPr>
          <w:color w:val="auto"/>
          <w:sz w:val="22"/>
          <w:u w:val="single"/>
        </w:rPr>
        <w:t xml:space="preserve">  All floats, wharves, piers, and docks shall be used and operated only in compliance with all safety guidelines and rules established by the Board of Selectmen</w:t>
      </w:r>
      <w:r w:rsidRPr="0026574B">
        <w:rPr>
          <w:color w:val="auto"/>
          <w:spacing w:val="35"/>
          <w:sz w:val="22"/>
          <w:u w:val="single"/>
        </w:rPr>
        <w:t xml:space="preserve"> </w:t>
      </w:r>
      <w:r w:rsidRPr="0026574B">
        <w:rPr>
          <w:color w:val="auto"/>
          <w:sz w:val="22"/>
          <w:u w:val="single"/>
        </w:rPr>
        <w:t>or otherwise set forth in this</w:t>
      </w:r>
      <w:r w:rsidRPr="0026574B">
        <w:rPr>
          <w:color w:val="auto"/>
          <w:spacing w:val="-5"/>
          <w:sz w:val="22"/>
          <w:u w:val="single"/>
        </w:rPr>
        <w:t xml:space="preserve"> </w:t>
      </w:r>
      <w:r w:rsidRPr="0026574B">
        <w:rPr>
          <w:color w:val="auto"/>
          <w:sz w:val="22"/>
          <w:u w:val="single"/>
        </w:rPr>
        <w:t>Chapter.</w:t>
      </w:r>
    </w:p>
    <w:p w14:paraId="0AE167B9" w14:textId="77777777" w:rsidR="0026574B" w:rsidRPr="0026574B" w:rsidRDefault="00427A95" w:rsidP="004E2189">
      <w:pPr>
        <w:spacing w:after="240"/>
        <w:ind w:left="1440"/>
        <w:jc w:val="left"/>
        <w:rPr>
          <w:color w:val="auto"/>
          <w:sz w:val="22"/>
        </w:rPr>
      </w:pPr>
      <w:r>
        <w:rPr>
          <w:color w:val="auto"/>
          <w:sz w:val="22"/>
        </w:rPr>
        <w:t>A new Section 133-11, “Safety guidelines and rules,” is enacted to read: “</w:t>
      </w:r>
      <w:r w:rsidR="00076BA0" w:rsidRPr="00076BA0">
        <w:rPr>
          <w:color w:val="auto"/>
          <w:sz w:val="22"/>
        </w:rPr>
        <w:t>The Board of Selectmen shall establish and revise guidelines and rules for the safe use and operation of floats, wharves, piers, and docks, including, but not limited to, the use of slides, swings, diving boards, trampolines, and other recreational equipment.</w:t>
      </w:r>
      <w:r w:rsidR="00076BA0">
        <w:rPr>
          <w:color w:val="auto"/>
          <w:sz w:val="22"/>
        </w:rPr>
        <w:t>”</w:t>
      </w:r>
    </w:p>
    <w:p w14:paraId="0454D1C4" w14:textId="77777777" w:rsidR="00344BFA" w:rsidRDefault="00427A95" w:rsidP="004E2189">
      <w:pPr>
        <w:spacing w:after="240"/>
        <w:ind w:left="1440"/>
        <w:jc w:val="left"/>
        <w:rPr>
          <w:rFonts w:eastAsia="Calibri"/>
          <w:color w:val="auto"/>
          <w:sz w:val="22"/>
        </w:rPr>
      </w:pPr>
      <w:r>
        <w:rPr>
          <w:rFonts w:eastAsia="Calibri"/>
          <w:color w:val="auto"/>
          <w:sz w:val="22"/>
        </w:rPr>
        <w:t>(The intent is</w:t>
      </w:r>
      <w:r w:rsidR="00A851C5">
        <w:rPr>
          <w:rFonts w:eastAsia="Calibri"/>
          <w:color w:val="auto"/>
          <w:sz w:val="22"/>
        </w:rPr>
        <w:t xml:space="preserve"> to authorize safety rules for floats, wharves, piers, and docks</w:t>
      </w:r>
      <w:r>
        <w:rPr>
          <w:rFonts w:eastAsia="Calibri"/>
          <w:color w:val="auto"/>
          <w:sz w:val="22"/>
        </w:rPr>
        <w:t>.)</w:t>
      </w:r>
    </w:p>
    <w:p w14:paraId="45001076" w14:textId="77777777" w:rsidR="00344BFA" w:rsidRDefault="00427A95" w:rsidP="004E2189">
      <w:pPr>
        <w:keepNext/>
        <w:tabs>
          <w:tab w:val="left" w:pos="1440"/>
        </w:tabs>
        <w:spacing w:after="100"/>
        <w:ind w:left="1440" w:hanging="1440"/>
        <w:jc w:val="left"/>
        <w:rPr>
          <w:rFonts w:eastAsia="Calibri"/>
          <w:color w:val="auto"/>
          <w:sz w:val="22"/>
        </w:rPr>
      </w:pPr>
      <w:r w:rsidRPr="0042041F">
        <w:rPr>
          <w:sz w:val="22"/>
        </w:rPr>
        <w:t>Article ___</w:t>
      </w:r>
      <w:r>
        <w:rPr>
          <w:sz w:val="22"/>
        </w:rPr>
        <w:tab/>
        <w:t xml:space="preserve">To see if the town will vote to amend the current </w:t>
      </w:r>
      <w:r w:rsidR="00622ECB">
        <w:rPr>
          <w:sz w:val="22"/>
        </w:rPr>
        <w:t>Town</w:t>
      </w:r>
      <w:r>
        <w:rPr>
          <w:sz w:val="22"/>
        </w:rPr>
        <w:t xml:space="preserve"> Code </w:t>
      </w:r>
      <w:r w:rsidR="00622ECB">
        <w:rPr>
          <w:sz w:val="22"/>
        </w:rPr>
        <w:t>by enacting a</w:t>
      </w:r>
      <w:r>
        <w:rPr>
          <w:sz w:val="22"/>
        </w:rPr>
        <w:t xml:space="preserve"> new Chapter 77 as follows:</w:t>
      </w:r>
    </w:p>
    <w:p w14:paraId="2E846AEA" w14:textId="77777777" w:rsidR="00A743C7" w:rsidRPr="00A743C7" w:rsidRDefault="00427A95" w:rsidP="00344BFA">
      <w:pPr>
        <w:spacing w:after="240"/>
        <w:ind w:left="1440"/>
        <w:jc w:val="left"/>
        <w:rPr>
          <w:rFonts w:eastAsia="Calibri"/>
          <w:b/>
          <w:bCs/>
          <w:color w:val="auto"/>
          <w:sz w:val="22"/>
        </w:rPr>
      </w:pPr>
      <w:r>
        <w:rPr>
          <w:rFonts w:eastAsia="Calibri"/>
          <w:bCs/>
          <w:color w:val="auto"/>
          <w:sz w:val="22"/>
        </w:rPr>
        <w:t>“</w:t>
      </w:r>
      <w:r w:rsidRPr="00A743C7">
        <w:rPr>
          <w:rFonts w:eastAsia="Calibri"/>
          <w:b/>
          <w:bCs/>
          <w:color w:val="auto"/>
          <w:sz w:val="22"/>
        </w:rPr>
        <w:t>Chapter 77</w:t>
      </w:r>
    </w:p>
    <w:p w14:paraId="29066A00" w14:textId="77777777" w:rsidR="00A743C7" w:rsidRPr="00A743C7" w:rsidRDefault="00427A95" w:rsidP="00344BFA">
      <w:pPr>
        <w:spacing w:after="240"/>
        <w:ind w:left="1440"/>
        <w:jc w:val="left"/>
        <w:rPr>
          <w:rFonts w:eastAsia="Calibri"/>
          <w:b/>
          <w:bCs/>
          <w:color w:val="auto"/>
          <w:sz w:val="22"/>
        </w:rPr>
      </w:pPr>
      <w:r w:rsidRPr="00A743C7">
        <w:rPr>
          <w:rFonts w:eastAsia="Calibri"/>
          <w:b/>
          <w:bCs/>
          <w:color w:val="auto"/>
          <w:sz w:val="22"/>
        </w:rPr>
        <w:t>Blasting</w:t>
      </w:r>
    </w:p>
    <w:p w14:paraId="761D576A" w14:textId="77777777" w:rsidR="00A743C7" w:rsidRPr="00A743C7" w:rsidRDefault="00427A95" w:rsidP="00344BFA">
      <w:pPr>
        <w:spacing w:after="240"/>
        <w:ind w:left="1440"/>
        <w:jc w:val="left"/>
        <w:rPr>
          <w:rFonts w:eastAsia="Calibri"/>
          <w:color w:val="auto"/>
          <w:sz w:val="22"/>
        </w:rPr>
      </w:pPr>
      <w:r w:rsidRPr="00A743C7">
        <w:rPr>
          <w:rFonts w:eastAsia="Calibri"/>
          <w:color w:val="auto"/>
          <w:sz w:val="22"/>
        </w:rPr>
        <w:t>77-1 Blasting Notification</w:t>
      </w:r>
    </w:p>
    <w:p w14:paraId="5EAF8068"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No blasting shall be done without first obtaining a permit to blast from the Code Enforcement Officer pursuant to this section.</w:t>
      </w:r>
    </w:p>
    <w:p w14:paraId="0DDDFC36"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The application for a permit to blast shall include:</w:t>
      </w:r>
    </w:p>
    <w:p w14:paraId="182162B6"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A completed application for a permit to blast, using the form provided by the Code Enforcement Officer.</w:t>
      </w:r>
    </w:p>
    <w:p w14:paraId="53D49158"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A site plan showing where the blasting will take place.</w:t>
      </w:r>
    </w:p>
    <w:p w14:paraId="1CD8C3C6"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A signage plan sufficient to warn all vehicles, pedestrians, residents, and others within 500 feet of the proposed blasting site that blasting will be occurring.  The signs must be placed at least three days prior to blasting and include the approximate dates and times the blasting will occur.</w:t>
      </w:r>
    </w:p>
    <w:p w14:paraId="42DB3E7F"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A statement of the purposes and extent of the blasting, further indicating the approximate dates and times the blasting will occur.</w:t>
      </w:r>
    </w:p>
    <w:p w14:paraId="6FF9777C"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Identification by name, address, and a contact telephone number of the entity that will actually perform the blasting operation.</w:t>
      </w:r>
    </w:p>
    <w:p w14:paraId="5069B8B9"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Proof that the applicant or the blasting contractor is properly licensed by the State of Maine and in compliance with Title 25 M.R.S., Chapter318, Subchapter 1: Explosives, and the State Fire Marshall Rules, Chapter 31, and any other applicable State statutes and regulations.</w:t>
      </w:r>
    </w:p>
    <w:p w14:paraId="02E0619C"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Proof of Insurance.  The applicant and/or blasting contractor shall present proof of liability insurance in a minimum amount of $1,000,000 combined single limit per occurrence.</w:t>
      </w:r>
    </w:p>
    <w:p w14:paraId="750D4D53" w14:textId="77777777" w:rsidR="00A743C7" w:rsidRPr="00A743C7" w:rsidRDefault="00427A95" w:rsidP="00344BFA">
      <w:pPr>
        <w:numPr>
          <w:ilvl w:val="0"/>
          <w:numId w:val="6"/>
        </w:numPr>
        <w:tabs>
          <w:tab w:val="left" w:pos="2160"/>
        </w:tabs>
        <w:spacing w:after="240"/>
        <w:ind w:left="2160"/>
        <w:jc w:val="left"/>
        <w:rPr>
          <w:rFonts w:eastAsia="Calibri"/>
          <w:color w:val="auto"/>
          <w:sz w:val="22"/>
        </w:rPr>
      </w:pPr>
      <w:r w:rsidRPr="00A743C7">
        <w:rPr>
          <w:rFonts w:eastAsia="Calibri"/>
          <w:color w:val="auto"/>
          <w:sz w:val="22"/>
        </w:rPr>
        <w:t>Evidence that notice of the proposed blasting operation has been sent, at least seven (7) days prior to the proposed blasting date, by certified mail to all landowners within three hundred (300) feet of the subject property.  Said notice shall indicate the location of the proposed blasting; approximate date and times that blasting will occur; and name, address, and telephone number of the entity that will actually perform the blasting operation.</w:t>
      </w:r>
    </w:p>
    <w:p w14:paraId="1A5C5714"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A blasting permit fee will be established in accordance with Chapter 2, Section 2.7(B) of this Ordinance.</w:t>
      </w:r>
    </w:p>
    <w:p w14:paraId="63855049"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The Code Enforcement Officer shall act upon the application for a permit to blast within ten (10) days after the receipt of a completed application form, fee, and all supporting evidence as set forth above.</w:t>
      </w:r>
    </w:p>
    <w:p w14:paraId="0C65FF4D"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If granted a permit, the applicant must adhere to all of the plans and requirements stated in the application for the permit.  If not, the applicant will be in violation of this ordinance, and the Code Enforcement Officer may require all blasting related work to immediately cease.</w:t>
      </w:r>
    </w:p>
    <w:p w14:paraId="3FFFED56" w14:textId="77777777" w:rsidR="00A743C7" w:rsidRPr="00A743C7" w:rsidRDefault="00427A95" w:rsidP="00344BFA">
      <w:pPr>
        <w:numPr>
          <w:ilvl w:val="0"/>
          <w:numId w:val="5"/>
        </w:numPr>
        <w:tabs>
          <w:tab w:val="left" w:pos="2160"/>
        </w:tabs>
        <w:spacing w:after="240"/>
        <w:ind w:left="1800"/>
        <w:jc w:val="left"/>
        <w:rPr>
          <w:rFonts w:eastAsia="Calibri"/>
          <w:color w:val="auto"/>
          <w:sz w:val="22"/>
        </w:rPr>
      </w:pPr>
      <w:r w:rsidRPr="00A743C7">
        <w:rPr>
          <w:rFonts w:eastAsia="Calibri"/>
          <w:color w:val="auto"/>
          <w:sz w:val="22"/>
        </w:rPr>
        <w:t>Definition of Blast/Blasting - Any activity entailing the use of explosives for the purpose of producing an explosion to demolish structures or portions of structures or to fragment rock or similar materials.</w:t>
      </w:r>
      <w:r w:rsidR="00344BFA">
        <w:rPr>
          <w:rFonts w:eastAsia="Calibri"/>
          <w:color w:val="auto"/>
          <w:sz w:val="22"/>
        </w:rPr>
        <w:t>”</w:t>
      </w:r>
    </w:p>
    <w:p w14:paraId="5840D734" w14:textId="77777777" w:rsidR="00961455" w:rsidRDefault="00427A95" w:rsidP="00961455">
      <w:pPr>
        <w:spacing w:after="240"/>
        <w:ind w:left="1440"/>
        <w:jc w:val="left"/>
        <w:rPr>
          <w:rFonts w:eastAsia="Calibri"/>
          <w:color w:val="auto"/>
          <w:sz w:val="22"/>
        </w:rPr>
      </w:pPr>
      <w:r>
        <w:rPr>
          <w:rFonts w:eastAsia="Calibri"/>
          <w:color w:val="auto"/>
          <w:sz w:val="22"/>
        </w:rPr>
        <w:t>(The intent is</w:t>
      </w:r>
      <w:r w:rsidR="00A743C7">
        <w:rPr>
          <w:rFonts w:eastAsia="Calibri"/>
          <w:color w:val="auto"/>
          <w:sz w:val="22"/>
        </w:rPr>
        <w:t xml:space="preserve"> to provide notice of blasting activities</w:t>
      </w:r>
      <w:r>
        <w:rPr>
          <w:rFonts w:eastAsia="Calibri"/>
          <w:color w:val="auto"/>
          <w:sz w:val="22"/>
        </w:rPr>
        <w:t>.)</w:t>
      </w:r>
    </w:p>
    <w:p w14:paraId="4A8CD35C" w14:textId="77777777" w:rsidR="001E1361" w:rsidRPr="001E1361" w:rsidRDefault="001E1361" w:rsidP="001E1361">
      <w:pPr>
        <w:tabs>
          <w:tab w:val="left" w:pos="1440"/>
        </w:tabs>
        <w:spacing w:after="240"/>
        <w:ind w:left="1440" w:hanging="1440"/>
        <w:jc w:val="left"/>
        <w:rPr>
          <w:rFonts w:eastAsia="Calibri"/>
          <w:color w:val="auto"/>
          <w:sz w:val="22"/>
        </w:rPr>
      </w:pPr>
    </w:p>
    <w:sectPr w:rsidR="001E1361" w:rsidRPr="001E1361" w:rsidSect="009B43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B603A" w14:textId="77777777" w:rsidR="007310FB" w:rsidRDefault="007310FB">
      <w:r>
        <w:separator/>
      </w:r>
    </w:p>
  </w:endnote>
  <w:endnote w:type="continuationSeparator" w:id="0">
    <w:p w14:paraId="12D37009" w14:textId="77777777" w:rsidR="007310FB" w:rsidRDefault="0073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42B1" w14:textId="77777777" w:rsidR="008516B5" w:rsidRDefault="0085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007D" w14:textId="77777777" w:rsidR="008516B5" w:rsidRDefault="00851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0771" w14:textId="77777777" w:rsidR="008516B5" w:rsidRDefault="0085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36174" w14:textId="77777777" w:rsidR="007310FB" w:rsidRDefault="007310FB">
      <w:r>
        <w:separator/>
      </w:r>
    </w:p>
  </w:footnote>
  <w:footnote w:type="continuationSeparator" w:id="0">
    <w:p w14:paraId="46F4CFDA" w14:textId="77777777" w:rsidR="007310FB" w:rsidRDefault="0073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8BA" w14:textId="77777777" w:rsidR="008516B5" w:rsidRDefault="00851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2760" w14:textId="77777777" w:rsidR="009B4358" w:rsidRDefault="009B4358">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1710" w14:textId="77777777" w:rsidR="008516B5" w:rsidRDefault="00851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03E13A0"/>
    <w:lvl w:ilvl="0">
      <w:start w:val="1"/>
      <w:numFmt w:val="decimal"/>
      <w:pStyle w:val="ListNumber"/>
      <w:lvlText w:val="%1."/>
      <w:lvlJc w:val="left"/>
      <w:pPr>
        <w:tabs>
          <w:tab w:val="num" w:pos="360"/>
        </w:tabs>
        <w:ind w:left="360" w:hanging="360"/>
      </w:pPr>
    </w:lvl>
  </w:abstractNum>
  <w:abstractNum w:abstractNumId="1" w15:restartNumberingAfterBreak="0">
    <w:nsid w:val="20284E61"/>
    <w:multiLevelType w:val="hybridMultilevel"/>
    <w:tmpl w:val="3C7EFA94"/>
    <w:lvl w:ilvl="0" w:tplc="5ABE9E90">
      <w:start w:val="1"/>
      <w:numFmt w:val="decimal"/>
      <w:lvlText w:val="(%1)"/>
      <w:lvlJc w:val="left"/>
      <w:pPr>
        <w:ind w:left="720" w:hanging="360"/>
      </w:pPr>
    </w:lvl>
    <w:lvl w:ilvl="1" w:tplc="726624B6">
      <w:start w:val="1"/>
      <w:numFmt w:val="lowerLetter"/>
      <w:lvlText w:val="%2."/>
      <w:lvlJc w:val="left"/>
      <w:pPr>
        <w:ind w:left="1440" w:hanging="360"/>
      </w:pPr>
    </w:lvl>
    <w:lvl w:ilvl="2" w:tplc="B7DAAF72">
      <w:start w:val="1"/>
      <w:numFmt w:val="lowerRoman"/>
      <w:lvlText w:val="%3."/>
      <w:lvlJc w:val="right"/>
      <w:pPr>
        <w:ind w:left="2160" w:hanging="180"/>
      </w:pPr>
    </w:lvl>
    <w:lvl w:ilvl="3" w:tplc="52FAA4F0">
      <w:start w:val="1"/>
      <w:numFmt w:val="decimal"/>
      <w:lvlText w:val="%4."/>
      <w:lvlJc w:val="left"/>
      <w:pPr>
        <w:ind w:left="2880" w:hanging="360"/>
      </w:pPr>
    </w:lvl>
    <w:lvl w:ilvl="4" w:tplc="F4562EA8">
      <w:start w:val="1"/>
      <w:numFmt w:val="lowerLetter"/>
      <w:lvlText w:val="%5."/>
      <w:lvlJc w:val="left"/>
      <w:pPr>
        <w:ind w:left="3600" w:hanging="360"/>
      </w:pPr>
    </w:lvl>
    <w:lvl w:ilvl="5" w:tplc="4BCC2E7E">
      <w:start w:val="1"/>
      <w:numFmt w:val="lowerRoman"/>
      <w:lvlText w:val="%6."/>
      <w:lvlJc w:val="right"/>
      <w:pPr>
        <w:ind w:left="4320" w:hanging="180"/>
      </w:pPr>
    </w:lvl>
    <w:lvl w:ilvl="6" w:tplc="FFB210D2">
      <w:start w:val="1"/>
      <w:numFmt w:val="decimal"/>
      <w:lvlText w:val="%7."/>
      <w:lvlJc w:val="left"/>
      <w:pPr>
        <w:ind w:left="5040" w:hanging="360"/>
      </w:pPr>
    </w:lvl>
    <w:lvl w:ilvl="7" w:tplc="A98CE4B2">
      <w:start w:val="1"/>
      <w:numFmt w:val="lowerLetter"/>
      <w:lvlText w:val="%8."/>
      <w:lvlJc w:val="left"/>
      <w:pPr>
        <w:ind w:left="5760" w:hanging="360"/>
      </w:pPr>
    </w:lvl>
    <w:lvl w:ilvl="8" w:tplc="FF24B376">
      <w:start w:val="1"/>
      <w:numFmt w:val="lowerRoman"/>
      <w:lvlText w:val="%9."/>
      <w:lvlJc w:val="right"/>
      <w:pPr>
        <w:ind w:left="6480" w:hanging="180"/>
      </w:pPr>
    </w:lvl>
  </w:abstractNum>
  <w:abstractNum w:abstractNumId="2" w15:restartNumberingAfterBreak="0">
    <w:nsid w:val="427C5B17"/>
    <w:multiLevelType w:val="hybridMultilevel"/>
    <w:tmpl w:val="AFB895D6"/>
    <w:lvl w:ilvl="0" w:tplc="A4CA7414">
      <w:start w:val="1"/>
      <w:numFmt w:val="decimal"/>
      <w:pStyle w:val="NumberedParagraph"/>
      <w:lvlText w:val="%1."/>
      <w:lvlJc w:val="left"/>
      <w:pPr>
        <w:ind w:left="720" w:hanging="360"/>
      </w:pPr>
    </w:lvl>
    <w:lvl w:ilvl="1" w:tplc="C708F59C" w:tentative="1">
      <w:start w:val="1"/>
      <w:numFmt w:val="lowerLetter"/>
      <w:lvlText w:val="%2."/>
      <w:lvlJc w:val="left"/>
      <w:pPr>
        <w:ind w:left="1440" w:hanging="360"/>
      </w:pPr>
    </w:lvl>
    <w:lvl w:ilvl="2" w:tplc="EB743E08" w:tentative="1">
      <w:start w:val="1"/>
      <w:numFmt w:val="lowerRoman"/>
      <w:lvlText w:val="%3."/>
      <w:lvlJc w:val="right"/>
      <w:pPr>
        <w:ind w:left="2160" w:hanging="180"/>
      </w:pPr>
    </w:lvl>
    <w:lvl w:ilvl="3" w:tplc="0C8829A0" w:tentative="1">
      <w:start w:val="1"/>
      <w:numFmt w:val="decimal"/>
      <w:lvlText w:val="%4."/>
      <w:lvlJc w:val="left"/>
      <w:pPr>
        <w:ind w:left="2880" w:hanging="360"/>
      </w:pPr>
    </w:lvl>
    <w:lvl w:ilvl="4" w:tplc="30C6AA24" w:tentative="1">
      <w:start w:val="1"/>
      <w:numFmt w:val="lowerLetter"/>
      <w:lvlText w:val="%5."/>
      <w:lvlJc w:val="left"/>
      <w:pPr>
        <w:ind w:left="3600" w:hanging="360"/>
      </w:pPr>
    </w:lvl>
    <w:lvl w:ilvl="5" w:tplc="AB86B2AC" w:tentative="1">
      <w:start w:val="1"/>
      <w:numFmt w:val="lowerRoman"/>
      <w:lvlText w:val="%6."/>
      <w:lvlJc w:val="right"/>
      <w:pPr>
        <w:ind w:left="4320" w:hanging="180"/>
      </w:pPr>
    </w:lvl>
    <w:lvl w:ilvl="6" w:tplc="2864F660" w:tentative="1">
      <w:start w:val="1"/>
      <w:numFmt w:val="decimal"/>
      <w:lvlText w:val="%7."/>
      <w:lvlJc w:val="left"/>
      <w:pPr>
        <w:ind w:left="5040" w:hanging="360"/>
      </w:pPr>
    </w:lvl>
    <w:lvl w:ilvl="7" w:tplc="71E253E8" w:tentative="1">
      <w:start w:val="1"/>
      <w:numFmt w:val="lowerLetter"/>
      <w:lvlText w:val="%8."/>
      <w:lvlJc w:val="left"/>
      <w:pPr>
        <w:ind w:left="5760" w:hanging="360"/>
      </w:pPr>
    </w:lvl>
    <w:lvl w:ilvl="8" w:tplc="5080B54A" w:tentative="1">
      <w:start w:val="1"/>
      <w:numFmt w:val="lowerRoman"/>
      <w:lvlText w:val="%9."/>
      <w:lvlJc w:val="right"/>
      <w:pPr>
        <w:ind w:left="6480" w:hanging="180"/>
      </w:pPr>
    </w:lvl>
  </w:abstractNum>
  <w:abstractNum w:abstractNumId="3" w15:restartNumberingAfterBreak="0">
    <w:nsid w:val="5FE23932"/>
    <w:multiLevelType w:val="hybridMultilevel"/>
    <w:tmpl w:val="76B0AD22"/>
    <w:lvl w:ilvl="0" w:tplc="7C1482E0">
      <w:start w:val="1"/>
      <w:numFmt w:val="upperLetter"/>
      <w:lvlText w:val="%1."/>
      <w:lvlJc w:val="left"/>
      <w:pPr>
        <w:ind w:left="720" w:hanging="360"/>
      </w:pPr>
    </w:lvl>
    <w:lvl w:ilvl="1" w:tplc="51C095D4">
      <w:start w:val="1"/>
      <w:numFmt w:val="lowerLetter"/>
      <w:lvlText w:val="%2."/>
      <w:lvlJc w:val="left"/>
      <w:pPr>
        <w:ind w:left="1440" w:hanging="360"/>
      </w:pPr>
    </w:lvl>
    <w:lvl w:ilvl="2" w:tplc="5F2EC7F0">
      <w:start w:val="1"/>
      <w:numFmt w:val="lowerRoman"/>
      <w:lvlText w:val="%3."/>
      <w:lvlJc w:val="right"/>
      <w:pPr>
        <w:ind w:left="2160" w:hanging="180"/>
      </w:pPr>
    </w:lvl>
    <w:lvl w:ilvl="3" w:tplc="DF928B1E">
      <w:start w:val="1"/>
      <w:numFmt w:val="decimal"/>
      <w:lvlText w:val="%4."/>
      <w:lvlJc w:val="left"/>
      <w:pPr>
        <w:ind w:left="2880" w:hanging="360"/>
      </w:pPr>
    </w:lvl>
    <w:lvl w:ilvl="4" w:tplc="707838BC">
      <w:start w:val="1"/>
      <w:numFmt w:val="lowerLetter"/>
      <w:lvlText w:val="%5."/>
      <w:lvlJc w:val="left"/>
      <w:pPr>
        <w:ind w:left="3600" w:hanging="360"/>
      </w:pPr>
    </w:lvl>
    <w:lvl w:ilvl="5" w:tplc="DD00D6FC">
      <w:start w:val="1"/>
      <w:numFmt w:val="lowerRoman"/>
      <w:lvlText w:val="%6."/>
      <w:lvlJc w:val="right"/>
      <w:pPr>
        <w:ind w:left="4320" w:hanging="180"/>
      </w:pPr>
    </w:lvl>
    <w:lvl w:ilvl="6" w:tplc="00BA456E">
      <w:start w:val="1"/>
      <w:numFmt w:val="decimal"/>
      <w:lvlText w:val="%7."/>
      <w:lvlJc w:val="left"/>
      <w:pPr>
        <w:ind w:left="5040" w:hanging="360"/>
      </w:pPr>
    </w:lvl>
    <w:lvl w:ilvl="7" w:tplc="15CEEEDE">
      <w:start w:val="1"/>
      <w:numFmt w:val="lowerLetter"/>
      <w:lvlText w:val="%8."/>
      <w:lvlJc w:val="left"/>
      <w:pPr>
        <w:ind w:left="5760" w:hanging="360"/>
      </w:pPr>
    </w:lvl>
    <w:lvl w:ilvl="8" w:tplc="3D3C7504">
      <w:start w:val="1"/>
      <w:numFmt w:val="lowerRoman"/>
      <w:lvlText w:val="%9."/>
      <w:lvlJc w:val="right"/>
      <w:pPr>
        <w:ind w:left="6480" w:hanging="180"/>
      </w:pPr>
    </w:lvl>
  </w:abstractNum>
  <w:abstractNum w:abstractNumId="4" w15:restartNumberingAfterBreak="0">
    <w:nsid w:val="710D51B1"/>
    <w:multiLevelType w:val="hybridMultilevel"/>
    <w:tmpl w:val="30DE26A8"/>
    <w:lvl w:ilvl="0" w:tplc="65968ACE">
      <w:start w:val="1"/>
      <w:numFmt w:val="decimal"/>
      <w:pStyle w:val="ListParagraph"/>
      <w:lvlText w:val="%1."/>
      <w:lvlJc w:val="left"/>
      <w:pPr>
        <w:tabs>
          <w:tab w:val="num" w:pos="1080"/>
        </w:tabs>
        <w:ind w:left="0" w:firstLine="720"/>
      </w:pPr>
      <w:rPr>
        <w:rFonts w:hint="default"/>
      </w:rPr>
    </w:lvl>
    <w:lvl w:ilvl="1" w:tplc="9864A770" w:tentative="1">
      <w:start w:val="1"/>
      <w:numFmt w:val="lowerLetter"/>
      <w:lvlText w:val="%2."/>
      <w:lvlJc w:val="left"/>
      <w:pPr>
        <w:ind w:left="1440" w:hanging="360"/>
      </w:pPr>
    </w:lvl>
    <w:lvl w:ilvl="2" w:tplc="E7240776" w:tentative="1">
      <w:start w:val="1"/>
      <w:numFmt w:val="lowerRoman"/>
      <w:lvlText w:val="%3."/>
      <w:lvlJc w:val="right"/>
      <w:pPr>
        <w:ind w:left="2160" w:hanging="180"/>
      </w:pPr>
    </w:lvl>
    <w:lvl w:ilvl="3" w:tplc="B04834FC" w:tentative="1">
      <w:start w:val="1"/>
      <w:numFmt w:val="decimal"/>
      <w:lvlText w:val="%4."/>
      <w:lvlJc w:val="left"/>
      <w:pPr>
        <w:ind w:left="2880" w:hanging="360"/>
      </w:pPr>
    </w:lvl>
    <w:lvl w:ilvl="4" w:tplc="114E396A" w:tentative="1">
      <w:start w:val="1"/>
      <w:numFmt w:val="lowerLetter"/>
      <w:lvlText w:val="%5."/>
      <w:lvlJc w:val="left"/>
      <w:pPr>
        <w:ind w:left="3600" w:hanging="360"/>
      </w:pPr>
    </w:lvl>
    <w:lvl w:ilvl="5" w:tplc="DF0EC7B8" w:tentative="1">
      <w:start w:val="1"/>
      <w:numFmt w:val="lowerRoman"/>
      <w:lvlText w:val="%6."/>
      <w:lvlJc w:val="right"/>
      <w:pPr>
        <w:ind w:left="4320" w:hanging="180"/>
      </w:pPr>
    </w:lvl>
    <w:lvl w:ilvl="6" w:tplc="79505502" w:tentative="1">
      <w:start w:val="1"/>
      <w:numFmt w:val="decimal"/>
      <w:lvlText w:val="%7."/>
      <w:lvlJc w:val="left"/>
      <w:pPr>
        <w:ind w:left="5040" w:hanging="360"/>
      </w:pPr>
    </w:lvl>
    <w:lvl w:ilvl="7" w:tplc="A25422CC" w:tentative="1">
      <w:start w:val="1"/>
      <w:numFmt w:val="lowerLetter"/>
      <w:lvlText w:val="%8."/>
      <w:lvlJc w:val="left"/>
      <w:pPr>
        <w:ind w:left="5760" w:hanging="360"/>
      </w:pPr>
    </w:lvl>
    <w:lvl w:ilvl="8" w:tplc="50C2B818"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revisionView w:inkAnnotations="0"/>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1F"/>
    <w:rsid w:val="00076BA0"/>
    <w:rsid w:val="00130854"/>
    <w:rsid w:val="00180B36"/>
    <w:rsid w:val="001D3B6A"/>
    <w:rsid w:val="001E1361"/>
    <w:rsid w:val="0026574B"/>
    <w:rsid w:val="002D19A7"/>
    <w:rsid w:val="002E4BC2"/>
    <w:rsid w:val="00344BFA"/>
    <w:rsid w:val="003634D0"/>
    <w:rsid w:val="003F5E89"/>
    <w:rsid w:val="0042041F"/>
    <w:rsid w:val="00427A95"/>
    <w:rsid w:val="00495372"/>
    <w:rsid w:val="004E2189"/>
    <w:rsid w:val="00564EA2"/>
    <w:rsid w:val="005E70A6"/>
    <w:rsid w:val="00622ECB"/>
    <w:rsid w:val="007310FB"/>
    <w:rsid w:val="00747AE8"/>
    <w:rsid w:val="00836F4D"/>
    <w:rsid w:val="008516B5"/>
    <w:rsid w:val="00896F10"/>
    <w:rsid w:val="008E3808"/>
    <w:rsid w:val="009414A7"/>
    <w:rsid w:val="00961455"/>
    <w:rsid w:val="009627EC"/>
    <w:rsid w:val="00981955"/>
    <w:rsid w:val="009A631A"/>
    <w:rsid w:val="009B4358"/>
    <w:rsid w:val="00A3001B"/>
    <w:rsid w:val="00A743C7"/>
    <w:rsid w:val="00A83736"/>
    <w:rsid w:val="00A851C5"/>
    <w:rsid w:val="00BE3077"/>
    <w:rsid w:val="00C5479B"/>
    <w:rsid w:val="00C827D0"/>
    <w:rsid w:val="00C82964"/>
    <w:rsid w:val="00CF38A8"/>
    <w:rsid w:val="00DE2190"/>
    <w:rsid w:val="00E64758"/>
    <w:rsid w:val="00EB089A"/>
    <w:rsid w:val="00F40F11"/>
    <w:rsid w:val="00FB12DB"/>
    <w:rsid w:val="00FE38AA"/>
    <w:rsid w:val="00FF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6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2"/>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58"/>
  </w:style>
  <w:style w:type="paragraph" w:styleId="Heading1">
    <w:name w:val="heading 1"/>
    <w:basedOn w:val="Normal"/>
    <w:next w:val="Normal"/>
    <w:link w:val="Heading1Char"/>
    <w:uiPriority w:val="9"/>
    <w:qFormat/>
    <w:rsid w:val="009B4358"/>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B4358"/>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9B4358"/>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9B4358"/>
    <w:p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9B4358"/>
    <w:pPr>
      <w:spacing w:before="20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9B4358"/>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9B4358"/>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9B435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B435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5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9B4358"/>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9B435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B4358"/>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9B43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B43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B43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43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435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B4358"/>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9B4358"/>
    <w:rPr>
      <w:rFonts w:ascii="Times New Roman" w:eastAsiaTheme="majorEastAsia" w:hAnsi="Times New Roman" w:cstheme="majorBidi"/>
      <w:spacing w:val="5"/>
      <w:sz w:val="52"/>
      <w:szCs w:val="52"/>
    </w:rPr>
  </w:style>
  <w:style w:type="paragraph" w:styleId="Subtitle">
    <w:name w:val="Subtitle"/>
    <w:basedOn w:val="Normal"/>
    <w:next w:val="Normal"/>
    <w:link w:val="SubtitleChar"/>
    <w:uiPriority w:val="11"/>
    <w:qFormat/>
    <w:rsid w:val="009B4358"/>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9B4358"/>
    <w:rPr>
      <w:rFonts w:ascii="Times New Roman" w:eastAsiaTheme="majorEastAsia" w:hAnsi="Times New Roman" w:cstheme="majorBidi"/>
      <w:i/>
      <w:iCs/>
      <w:spacing w:val="13"/>
      <w:sz w:val="24"/>
      <w:szCs w:val="24"/>
    </w:rPr>
  </w:style>
  <w:style w:type="character" w:styleId="Strong">
    <w:name w:val="Strong"/>
    <w:uiPriority w:val="22"/>
    <w:qFormat/>
    <w:rsid w:val="009B4358"/>
    <w:rPr>
      <w:b/>
      <w:bCs/>
    </w:rPr>
  </w:style>
  <w:style w:type="character" w:styleId="Emphasis">
    <w:name w:val="Emphasis"/>
    <w:uiPriority w:val="20"/>
    <w:qFormat/>
    <w:rsid w:val="009B4358"/>
    <w:rPr>
      <w:b/>
      <w:bCs/>
      <w:i/>
      <w:iCs/>
      <w:spacing w:val="10"/>
      <w:bdr w:val="none" w:sz="0" w:space="0" w:color="auto"/>
      <w:shd w:val="clear" w:color="auto" w:fill="auto"/>
    </w:rPr>
  </w:style>
  <w:style w:type="paragraph" w:styleId="NoSpacing">
    <w:name w:val="No Spacing"/>
    <w:basedOn w:val="Normal"/>
    <w:uiPriority w:val="1"/>
    <w:qFormat/>
    <w:rsid w:val="009B4358"/>
  </w:style>
  <w:style w:type="paragraph" w:styleId="ListParagraph">
    <w:name w:val="List Paragraph"/>
    <w:basedOn w:val="Normal"/>
    <w:uiPriority w:val="34"/>
    <w:rsid w:val="009B4358"/>
    <w:pPr>
      <w:numPr>
        <w:numId w:val="4"/>
      </w:numPr>
      <w:spacing w:after="240"/>
    </w:pPr>
    <w:rPr>
      <w:szCs w:val="24"/>
    </w:rPr>
  </w:style>
  <w:style w:type="paragraph" w:styleId="Quote">
    <w:name w:val="Quote"/>
    <w:basedOn w:val="Normal"/>
    <w:next w:val="Normal"/>
    <w:link w:val="QuoteChar"/>
    <w:uiPriority w:val="29"/>
    <w:qFormat/>
    <w:rsid w:val="009B4358"/>
    <w:pPr>
      <w:spacing w:before="200"/>
      <w:ind w:left="360" w:right="360"/>
    </w:pPr>
    <w:rPr>
      <w:rFonts w:asciiTheme="minorHAnsi" w:hAnsiTheme="minorHAnsi"/>
      <w:i/>
      <w:iCs/>
      <w:sz w:val="22"/>
    </w:rPr>
  </w:style>
  <w:style w:type="character" w:customStyle="1" w:styleId="QuoteChar">
    <w:name w:val="Quote Char"/>
    <w:basedOn w:val="DefaultParagraphFont"/>
    <w:link w:val="Quote"/>
    <w:uiPriority w:val="29"/>
    <w:rsid w:val="009B4358"/>
    <w:rPr>
      <w:i/>
      <w:iCs/>
    </w:rPr>
  </w:style>
  <w:style w:type="paragraph" w:styleId="IntenseQuote">
    <w:name w:val="Intense Quote"/>
    <w:basedOn w:val="Normal"/>
    <w:next w:val="Normal"/>
    <w:link w:val="IntenseQuoteChar"/>
    <w:uiPriority w:val="30"/>
    <w:qFormat/>
    <w:rsid w:val="009B4358"/>
    <w:pPr>
      <w:pBdr>
        <w:bottom w:val="single" w:sz="4" w:space="1" w:color="auto"/>
      </w:pBdr>
      <w:spacing w:before="200" w:after="280"/>
      <w:ind w:left="1008" w:right="1152"/>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9B4358"/>
    <w:rPr>
      <w:b/>
      <w:bCs/>
      <w:i/>
      <w:iCs/>
    </w:rPr>
  </w:style>
  <w:style w:type="character" w:styleId="SubtleEmphasis">
    <w:name w:val="Subtle Emphasis"/>
    <w:uiPriority w:val="19"/>
    <w:qFormat/>
    <w:rsid w:val="009B4358"/>
    <w:rPr>
      <w:i/>
      <w:iCs/>
    </w:rPr>
  </w:style>
  <w:style w:type="character" w:styleId="IntenseEmphasis">
    <w:name w:val="Intense Emphasis"/>
    <w:uiPriority w:val="21"/>
    <w:qFormat/>
    <w:rsid w:val="009B4358"/>
    <w:rPr>
      <w:b/>
      <w:bCs/>
    </w:rPr>
  </w:style>
  <w:style w:type="character" w:styleId="SubtleReference">
    <w:name w:val="Subtle Reference"/>
    <w:uiPriority w:val="31"/>
    <w:qFormat/>
    <w:rsid w:val="009B4358"/>
    <w:rPr>
      <w:smallCaps/>
    </w:rPr>
  </w:style>
  <w:style w:type="character" w:styleId="IntenseReference">
    <w:name w:val="Intense Reference"/>
    <w:uiPriority w:val="32"/>
    <w:qFormat/>
    <w:rsid w:val="009B4358"/>
    <w:rPr>
      <w:smallCaps/>
      <w:spacing w:val="5"/>
      <w:u w:val="single"/>
    </w:rPr>
  </w:style>
  <w:style w:type="character" w:styleId="BookTitle">
    <w:name w:val="Book Title"/>
    <w:uiPriority w:val="33"/>
    <w:qFormat/>
    <w:rsid w:val="009B4358"/>
    <w:rPr>
      <w:i/>
      <w:iCs/>
      <w:smallCaps/>
      <w:spacing w:val="5"/>
    </w:rPr>
  </w:style>
  <w:style w:type="paragraph" w:styleId="TOCHeading">
    <w:name w:val="TOC Heading"/>
    <w:basedOn w:val="Heading1"/>
    <w:next w:val="Normal"/>
    <w:uiPriority w:val="39"/>
    <w:semiHidden/>
    <w:unhideWhenUsed/>
    <w:qFormat/>
    <w:rsid w:val="009B4358"/>
    <w:pPr>
      <w:outlineLvl w:val="9"/>
    </w:pPr>
  </w:style>
  <w:style w:type="paragraph" w:styleId="EnvelopeAddress">
    <w:name w:val="envelope address"/>
    <w:basedOn w:val="Normal"/>
    <w:uiPriority w:val="99"/>
    <w:semiHidden/>
    <w:unhideWhenUsed/>
    <w:rsid w:val="00747AE8"/>
    <w:pPr>
      <w:framePr w:w="7920" w:h="1980" w:hRule="exact" w:hSpace="180" w:wrap="auto" w:hAnchor="page" w:xAlign="center" w:yAlign="bottom"/>
      <w:ind w:left="2880"/>
    </w:pPr>
    <w:rPr>
      <w:rFonts w:eastAsiaTheme="majorEastAsia" w:cstheme="majorBidi"/>
      <w:color w:val="auto"/>
      <w:sz w:val="28"/>
      <w:szCs w:val="24"/>
    </w:rPr>
  </w:style>
  <w:style w:type="paragraph" w:styleId="Header">
    <w:name w:val="header"/>
    <w:basedOn w:val="Normal"/>
    <w:link w:val="HeaderChar"/>
    <w:uiPriority w:val="99"/>
    <w:unhideWhenUsed/>
    <w:rsid w:val="009B4358"/>
    <w:pPr>
      <w:tabs>
        <w:tab w:val="center" w:pos="4680"/>
        <w:tab w:val="right" w:pos="9360"/>
      </w:tabs>
    </w:pPr>
  </w:style>
  <w:style w:type="character" w:customStyle="1" w:styleId="HeaderChar">
    <w:name w:val="Header Char"/>
    <w:basedOn w:val="DefaultParagraphFont"/>
    <w:link w:val="Header"/>
    <w:uiPriority w:val="99"/>
    <w:rsid w:val="009B4358"/>
    <w:rPr>
      <w:rFonts w:ascii="Times New Roman" w:hAnsi="Times New Roman"/>
      <w:sz w:val="24"/>
    </w:rPr>
  </w:style>
  <w:style w:type="paragraph" w:styleId="Footer">
    <w:name w:val="footer"/>
    <w:basedOn w:val="Normal"/>
    <w:link w:val="FooterChar"/>
    <w:uiPriority w:val="99"/>
    <w:unhideWhenUsed/>
    <w:rsid w:val="009B4358"/>
    <w:pPr>
      <w:tabs>
        <w:tab w:val="center" w:pos="4680"/>
        <w:tab w:val="right" w:pos="9360"/>
      </w:tabs>
    </w:pPr>
  </w:style>
  <w:style w:type="character" w:customStyle="1" w:styleId="FooterChar">
    <w:name w:val="Footer Char"/>
    <w:basedOn w:val="DefaultParagraphFont"/>
    <w:link w:val="Footer"/>
    <w:uiPriority w:val="99"/>
    <w:rsid w:val="009B4358"/>
    <w:rPr>
      <w:rFonts w:ascii="Times New Roman" w:hAnsi="Times New Roman"/>
      <w:sz w:val="24"/>
    </w:rPr>
  </w:style>
  <w:style w:type="paragraph" w:styleId="BalloonText">
    <w:name w:val="Balloon Text"/>
    <w:basedOn w:val="Normal"/>
    <w:link w:val="BalloonTextChar"/>
    <w:uiPriority w:val="99"/>
    <w:semiHidden/>
    <w:unhideWhenUsed/>
    <w:rsid w:val="009B4358"/>
    <w:rPr>
      <w:rFonts w:ascii="Tahoma" w:hAnsi="Tahoma" w:cs="Tahoma"/>
      <w:sz w:val="16"/>
      <w:szCs w:val="16"/>
    </w:rPr>
  </w:style>
  <w:style w:type="character" w:customStyle="1" w:styleId="BalloonTextChar">
    <w:name w:val="Balloon Text Char"/>
    <w:basedOn w:val="DefaultParagraphFont"/>
    <w:link w:val="BalloonText"/>
    <w:uiPriority w:val="99"/>
    <w:semiHidden/>
    <w:rsid w:val="009B4358"/>
    <w:rPr>
      <w:rFonts w:ascii="Tahoma" w:hAnsi="Tahoma" w:cs="Tahoma"/>
      <w:sz w:val="16"/>
      <w:szCs w:val="16"/>
    </w:rPr>
  </w:style>
  <w:style w:type="paragraph" w:customStyle="1" w:styleId="NumberedParagraph">
    <w:name w:val="Numbered Paragraph"/>
    <w:basedOn w:val="Normal"/>
    <w:autoRedefine/>
    <w:qFormat/>
    <w:rsid w:val="009B4358"/>
    <w:pPr>
      <w:numPr>
        <w:numId w:val="1"/>
      </w:numPr>
      <w:tabs>
        <w:tab w:val="left" w:pos="1080"/>
      </w:tabs>
      <w:spacing w:after="240"/>
    </w:pPr>
  </w:style>
  <w:style w:type="paragraph" w:styleId="ListNumber">
    <w:name w:val="List Number"/>
    <w:basedOn w:val="Normal"/>
    <w:uiPriority w:val="99"/>
    <w:semiHidden/>
    <w:unhideWhenUsed/>
    <w:rsid w:val="009B4358"/>
    <w:pPr>
      <w:numPr>
        <w:numId w:val="3"/>
      </w:numPr>
      <w:tabs>
        <w:tab w:val="left" w:pos="1080"/>
      </w:tabs>
      <w:spacing w:after="240"/>
    </w:pPr>
    <w:rPr>
      <w:szCs w:val="24"/>
    </w:rPr>
  </w:style>
  <w:style w:type="paragraph" w:styleId="BodyText">
    <w:name w:val="Body Text"/>
    <w:basedOn w:val="Normal"/>
    <w:link w:val="BodyTextChar"/>
    <w:uiPriority w:val="99"/>
    <w:semiHidden/>
    <w:unhideWhenUsed/>
    <w:rsid w:val="00A743C7"/>
    <w:pPr>
      <w:spacing w:after="120"/>
    </w:pPr>
  </w:style>
  <w:style w:type="character" w:customStyle="1" w:styleId="BodyTextChar">
    <w:name w:val="Body Text Char"/>
    <w:basedOn w:val="DefaultParagraphFont"/>
    <w:link w:val="BodyText"/>
    <w:uiPriority w:val="99"/>
    <w:semiHidden/>
    <w:rsid w:val="00A74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2020-03-13T19:23:00Z</dcterms:created>
  <dcterms:modified xsi:type="dcterms:W3CDTF">2020-03-13T19:23:00Z</dcterms:modified>
</cp:coreProperties>
</file>